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charts/chart4.xml" ContentType="application/vnd.openxmlformats-officedocument.drawingml.chart+xml"/>
  <Override PartName="/word/charts/chart3.xml" ContentType="application/vnd.openxmlformats-officedocument.drawingml.chart+xml"/>
  <Override PartName="/word/charts/chart2.xml" ContentType="application/vnd.openxmlformats-officedocument.drawingml.chart+xml"/>
  <Override PartName="/word/charts/chart1.xml" ContentType="application/vnd.openxmlformats-officedocument.drawingml.chart+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480"/>
        <w:jc w:val="center"/>
        <w:rPr>
          <w:rFonts w:ascii="Times New Roman" w:hAnsi="Times New Roman" w:cs="Times New Roman"/>
          <w:sz w:val="28"/>
          <w:szCs w:val="28"/>
        </w:rPr>
      </w:pPr>
      <w:r>
        <w:rPr>
          <w:rFonts w:cs="Times New Roman" w:ascii="Times New Roman" w:hAnsi="Times New Roman"/>
          <w:sz w:val="28"/>
          <w:szCs w:val="28"/>
        </w:rPr>
        <w:t>The People of Color Ethnic and Racial Disparity in Prisons</w:t>
      </w:r>
    </w:p>
    <w:p>
      <w:pPr>
        <w:pStyle w:val="Normal"/>
        <w:spacing w:lineRule="auto" w:line="480"/>
        <w:jc w:val="center"/>
        <w:rPr>
          <w:rFonts w:ascii="Times New Roman" w:hAnsi="Times New Roman" w:cs="Times New Roman"/>
          <w:sz w:val="28"/>
          <w:szCs w:val="28"/>
        </w:rPr>
      </w:pPr>
      <w:r>
        <w:rPr>
          <w:rFonts w:cs="Times New Roman" w:ascii="Times New Roman" w:hAnsi="Times New Roman"/>
          <w:sz w:val="28"/>
          <w:szCs w:val="28"/>
        </w:rPr>
        <w:t xml:space="preserve">Name </w:t>
      </w:r>
    </w:p>
    <w:p>
      <w:pPr>
        <w:pStyle w:val="Normal"/>
        <w:spacing w:lineRule="auto" w:line="480"/>
        <w:jc w:val="center"/>
        <w:rPr>
          <w:rFonts w:ascii="Times New Roman" w:hAnsi="Times New Roman" w:cs="Times New Roman"/>
          <w:sz w:val="28"/>
          <w:szCs w:val="28"/>
        </w:rPr>
      </w:pPr>
      <w:r>
        <w:rPr>
          <w:rFonts w:cs="Times New Roman" w:ascii="Times New Roman" w:hAnsi="Times New Roman"/>
          <w:sz w:val="28"/>
          <w:szCs w:val="28"/>
        </w:rPr>
        <w:t>Institution</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Abstract</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African American constitute to up to 14 percent of the general population of the United States, yet the comprise of 28 percent of all the arrests, 42 % of all the inmates being held in jails and prisons and 43% of the inhabitants on the death row. Contrary the Whites constitute a 65 % of the US total population and 69 % of the entire arrests but only 38% of all the inmates being held in the local jails or state prisons and 54 percent of the inhabitants on the death row. Native Americans and Hispanic are also overrepresented in the criminal system of justice. The overrepresentation of the color people in the criminal system of the nation is a critical issue in the society. There is a racial inequality in the system of juvenile and efforts to decrease the numbers are minimal.  The report analysis the causes and how different aspects affects disparity. The disproportionate representation stems from the combination of some different decisions and circumstances. It is hard to affirm definitive causes, differential policing practices and policies, the nature of crimes, racial bias, or sentencing laws are some of the contributors of inequalities in the system.</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disparity in the representation of ethnic and racial groups in the system of criminal justice also termed as disproportionate minority contact. The research on the issue has widened for many years from the first sole concentration on confinement to examining inequalities at each phase of the system. The incarceration remains a critical issue in the criminal justice area, but in the report, disproportionate minority refers to the disproportionate at all levels in the system. The research explores relative sections of ethnic and racial groups at pretrial detention and court processing, arrest, sentencing, prosecution, capital punishment, incarceration, parole, and probation. The disproportionate among the youth who are in the system of juvenile justice is assessed with differential recidivism rates by ethnicity and race.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The system of criminal justice reefers to the adults in the system of adults but in some cases can involve all ages. The juvenile justice system is termed as a separate system which solves juvenile delinquency. The term's use of the disproportionate minority contacts is overrepresentation which denotes a large proportion of a specific group at a certain stage in the system other than the proportion of the group in the entire population. Disparity refers to the possibility of getting a specific result differs for various groups, which in turn result in overrepresentation. The aim of this study is not to investigate why the disparities occur but tabulating and describing the most dependable comparative data obtainable. Each part of the report addresses the successive stage in the system. The two extra sections address juveniles and recidivism. Disparities in the criminal processing might be the outcome of the race-based illicit laws, differential policing, differential offending, differential arrest or all of them combined. It may be, however, is not occasionally, the decision by the law enforcement agent or the court, which result in disproportion. Without consideration of the causes, disproportionate representation of color people in the criminal justice system constitutes to a dangerous problem.</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Methodology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report depends mainly on the two key sources of the official information. The United States Census that counts the population of the nation after ten years and offers approximates based on the protrusions for the years between its account offices. The second data source applied in generating the findings of the reports in the Justice Statistics of the United Statistics Bureau (Tonry, 2013). They publish their results from the National Prisoner Statistics.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State and national criminal justice data</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report entails national card and if suitable and accessible, state data. The several aspects which contribute to the offense and the reaction to offenses and to disproportion minority to establish comparisons amongst states difficult, however, state information does indicate the broad differentiation in representing and identifying the states with specifically low and high disproportion (Mauer, 2015). People are classified as the most dangerous crime for that an individual is sentenced or arrested. All the ages are involved in the reported data. </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Ethnicity and race</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Data reporting involves race that is African American, White, the Asian Islander, and American India ethnicity either non-Hispanic or Hispanic. If data on ethnicity is accessible, the report group Hispanic as the district groups while the racial group may not involve any Hispanics (Mauer, 2015). There exists variability in the paradigm and reliability with that reporting agencies differentiate race from ethnicity. The report contains reliable figures obtainable and states primary data issues in which appropriate comprising missing information when ethnicity numbers are low or not reported to have significance in the rates calculations. Where the ethnicity not considered as the separate group, then each racial group can include both non-Hispanics and Hispanics.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Relative rate indices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Most discussion and tables employ the relative rate index. It determines the rate of each group compared to the baseline group, in the case the Whites expressed the RRI =1.0. It is the ratio of the rates for color people to rates of the Whites.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Calculation and interpretation of rates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rates for every racial group are computed as some people at a specific point in the system over 100000 of a similar race in a general population (Londono, 2013). The rates of other groups are then divided by the rates of the Whites population, value less than shows that the group is underrepresented. For instance, if the group has the RRI of 2.0 compared to the standard RRI for whites 1.0, the group is represented twice the rate of whites.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 xml:space="preserve">Data sources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report uses recent state and federal data accessible. The tables are drawn from the federal online information sources, published reports or the raw data in the US Justice Department. The rates are computed applying the population estimates for the adults in the population division of the Census Bureau of the United States. Analysis of the court processing information comprising of forms of sentence, convictions, and the average sentences imposed length and analysis of the new commitments in jail and prison. The juvenile population numbers are derived from National Center for the Health Statistics (Lombardo, 2017). Reliable approximates of the disproportionate minority depend on the accessibility of relevant information at each level with comparable parameters of the population. Further federal researchers must involve the broader variables range involving offender characteristics like employment, income, level of education, community aspects, and relevant features of victims, prosecutors, law enforcement, and courts. Some research reveals that Hispanic and Black offenders get more punitive sentences than the White criminals, but the gender, employment status, age and race/ethnicity combination leads to larger racial inequalities.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Data constraints or shortcomings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Although the databases and reports of the federal regime make accessible have improved in quality and number for recent years, there are still constraints in offering the full and current picture of ethnic and racial representation in the system. The comprehensive of how disproportionate minority accumulates in the system needs ethnic and racial data in each of the level of state, national and local or county jurisdictions (Levinson, Young, &amp; Rudman, 2013). The rates, counts, and RRI may fluctuate over time mostly with small circumstance counts. High RRIs must be interpreted with the caution. The trend information or mean over the period are not reported. However, calculations entailing case counts low in producing reliable outcomes are shown as missing. The analysis of the essential topic trends tends to be of the historical nature. The main shortcoming of the current data sources is the lacking of information on ethnicity.  The federal regime’s source of information for arrests, the primary early stages of the system, is the Uniform crime reports of FBI.</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Results Discussion</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findings at each level of the system trails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Arrests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In the overall, the acceleration at which the blacks were arrested is at 3.0 times higher than the rate of arrests for the Whites. The rates are higher in some classes of crimes: the rate in which the blacks are arrested for violent crimes and drug, crimes are each estimated at 4.0 times rate, which Whites are arrested for similar categories of crimes (Gonzalez-Sanchez, 2016). The African American is arrested for over 6.0 times that rate of Whites for robbery, murder, and gambling and are overrepresented in both specific crimes apart from alcohol associated offenses. The Native Americans are arrested at the rate of 1.5 times that rate of Whites with high disparity for some public order and violent crimes. The Asian Pacific Islanders are the only group of racial that is underrepresented compared to the Whites. The FBI, the main source of crime and arrest information does not disaggregate information by ethnicity. Majority of the research reviewed revealed that Hispanics and African Americans are most likely to be sentenced to jail or prison even upon considering offense seriously and before offender’s record into consideration.</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Court processing</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African Americans are most likely to sentenced to jail or prison and are less likely to get sentenced to parole and probation compared to the Whites (Drakulich, 2015). The minimum prison sentence in the cases of violent offenses was approximate to one year long for the blacks than for the Whites. The African Americans are convicted on drug charges at substantially higher rates compared to the Whites..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table showing violent offenses sentenced after crime conviction</w:t>
      </w:r>
    </w:p>
    <w:tbl>
      <w:tblPr>
        <w:tblW w:w="4380" w:type="dxa"/>
        <w:jc w:val="left"/>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2179"/>
        <w:gridCol w:w="2200"/>
      </w:tblGrid>
      <w:tr>
        <w:trPr>
          <w:trHeight w:val="300" w:hRule="atLeast"/>
        </w:trPr>
        <w:tc>
          <w:tcPr>
            <w:tcW w:w="21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Races</w:t>
            </w:r>
          </w:p>
        </w:tc>
        <w:tc>
          <w:tcPr>
            <w:tcW w:w="220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violent offenses %</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African American </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60</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Whites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Hispanics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20</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Others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w:t>
            </w:r>
          </w:p>
        </w:tc>
      </w:tr>
    </w:tbl>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Pie Chart: showing sentence after violent offenses conviction for different races</w:t>
      </w:r>
    </w:p>
    <w:p>
      <w:pPr>
        <w:pStyle w:val="Normal"/>
        <w:spacing w:lineRule="auto" w:line="480"/>
        <w:jc w:val="both"/>
        <w:rPr>
          <w:rFonts w:ascii="Times New Roman" w:hAnsi="Times New Roman" w:cs="Times New Roman"/>
          <w:sz w:val="24"/>
          <w:szCs w:val="24"/>
        </w:rPr>
      </w:pPr>
      <w:r>
        <w:rPr/>
        <w:drawing>
          <wp:inline distT="0" distB="0" distL="0" distR="0">
            <wp:extent cx="5114925" cy="3162300"/>
            <wp:effectExtent l="0" t="0" r="0" b="0"/>
            <wp:docPr id="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new prison admissions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African Americans are admitted to the prison at a higher rate of 6.0 times than that of Whites. The Hispanics are admitted at a rate of 2.0 times that rate of Whites. Native Americans are admitted at a rate over 4.0 times that rate of Whites (Drakulich, 2015). African Americans females are admitted at the rate of 4.0 times and Native Americans females at the rate more than 6.0 times that rate of Whites females. New admissions rates because of parole or probation revocations are higher for individuals of the color than for the Whites.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Table of RRI of Adults on new prison admissions</w:t>
      </w:r>
    </w:p>
    <w:tbl>
      <w:tblPr>
        <w:tblW w:w="8880" w:type="dxa"/>
        <w:jc w:val="left"/>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2200"/>
        <w:gridCol w:w="960"/>
        <w:gridCol w:w="1700"/>
        <w:gridCol w:w="1880"/>
        <w:gridCol w:w="1180"/>
        <w:gridCol w:w="959"/>
      </w:tblGrid>
      <w:tr>
        <w:trPr>
          <w:trHeight w:val="300" w:hRule="atLeast"/>
        </w:trPr>
        <w:tc>
          <w:tcPr>
            <w:tcW w:w="2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w:t>
            </w:r>
          </w:p>
        </w:tc>
        <w:tc>
          <w:tcPr>
            <w:tcW w:w="96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Whites </w:t>
            </w:r>
          </w:p>
        </w:tc>
        <w:tc>
          <w:tcPr>
            <w:tcW w:w="170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African American </w:t>
            </w:r>
          </w:p>
        </w:tc>
        <w:tc>
          <w:tcPr>
            <w:tcW w:w="188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Hispanics</w:t>
            </w:r>
          </w:p>
        </w:tc>
        <w:tc>
          <w:tcPr>
            <w:tcW w:w="118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Asian</w:t>
            </w:r>
          </w:p>
        </w:tc>
        <w:tc>
          <w:tcPr>
            <w:tcW w:w="95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Others</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national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5.7</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2.1</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0.2</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Alabama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4.5</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2.9</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0.5</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Arizona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5.6</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1.7</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0.2</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Colorado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5.2</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1.6</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0.8</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0.3</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Florida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0.6</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0.1</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Idaho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4</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1.8</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1.5</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0.4</w:t>
            </w:r>
          </w:p>
        </w:tc>
      </w:tr>
    </w:tbl>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graph showing RRI of Adults New Admissions</w:t>
      </w:r>
    </w:p>
    <w:p>
      <w:pPr>
        <w:pStyle w:val="Normal"/>
        <w:spacing w:lineRule="auto" w:line="480"/>
        <w:jc w:val="both"/>
        <w:rPr>
          <w:rFonts w:ascii="Times New Roman" w:hAnsi="Times New Roman" w:cs="Times New Roman"/>
          <w:sz w:val="24"/>
          <w:szCs w:val="24"/>
        </w:rPr>
      </w:pPr>
      <w:r>
        <w:rPr/>
        <w:drawing>
          <wp:inline distT="0" distB="0" distL="0" distR="0">
            <wp:extent cx="5943600" cy="2348230"/>
            <wp:effectExtent l="0" t="0" r="0" b="0"/>
            <wp:docPr id="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Incarcerated in jails and prisons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Nationally, the African Americans are incarcerated in the state prisons for 6.0 times that rate of the Whites and within the local jails for approximately 5.0 times that rate of the Whites. Hispanics are incarcerated for more than 2.0 times that rate of the Whites. The Native Americans are incarcerated for over 2.0 times compared to the Whites. All the individual states have reported African Americans overrepresentation amongst jail and prison inmates (Corsino, 20170. Most of the states have reported that Native Americans and Hispanics are disproportionately confined. The blacks and Hispanics have the odds of creating bail which is estimated half of the Whites with similar legal characteristics and bail amounts. Their associated lack of networks and economic resources contributes to the Hispanics to be twice at 100 percent while the blacks 87% more probably subjected to the pretrial incarceration. In it noted that without considering ethnicity or race female defendants get less punitive sanctions compared to their male counterparts. The racial inequalities in the system of justice low down the faith amongst ethnic and racial groups in the efficacy and fairness of the United States system of Criminal justice. They are specifically intolerable since incarceration has serious propositions for the criminals’ lives and that of their communities and families.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table showing RRI of Incarceration in Prison</w:t>
      </w:r>
    </w:p>
    <w:tbl>
      <w:tblPr>
        <w:tblW w:w="8880" w:type="dxa"/>
        <w:jc w:val="left"/>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2200"/>
        <w:gridCol w:w="960"/>
        <w:gridCol w:w="1700"/>
        <w:gridCol w:w="1880"/>
        <w:gridCol w:w="1180"/>
        <w:gridCol w:w="959"/>
      </w:tblGrid>
      <w:tr>
        <w:trPr>
          <w:trHeight w:val="300" w:hRule="atLeast"/>
        </w:trPr>
        <w:tc>
          <w:tcPr>
            <w:tcW w:w="2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w:t>
            </w:r>
          </w:p>
        </w:tc>
        <w:tc>
          <w:tcPr>
            <w:tcW w:w="96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Whites </w:t>
            </w:r>
          </w:p>
        </w:tc>
        <w:tc>
          <w:tcPr>
            <w:tcW w:w="170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African American </w:t>
            </w:r>
          </w:p>
        </w:tc>
        <w:tc>
          <w:tcPr>
            <w:tcW w:w="188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Hispanics</w:t>
            </w:r>
          </w:p>
        </w:tc>
        <w:tc>
          <w:tcPr>
            <w:tcW w:w="118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Asian</w:t>
            </w:r>
          </w:p>
        </w:tc>
        <w:tc>
          <w:tcPr>
            <w:tcW w:w="95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Others</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national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4.7</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1.6</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0.2</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Alabama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3.4</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2.9</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0.5</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Arizona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4.5</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1.6</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1.7</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0.2</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Colarado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5.2</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1.6</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1.1</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0.3</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Florida RRI</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0.4</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0.1</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0.1</w:t>
            </w:r>
          </w:p>
        </w:tc>
      </w:tr>
      <w:tr>
        <w:trPr>
          <w:trHeight w:val="300" w:hRule="atLeast"/>
        </w:trPr>
        <w:tc>
          <w:tcPr>
            <w:tcW w:w="220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Idaho</w:t>
            </w:r>
          </w:p>
        </w:tc>
        <w:tc>
          <w:tcPr>
            <w:tcW w:w="96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w:t>
            </w:r>
          </w:p>
        </w:tc>
        <w:tc>
          <w:tcPr>
            <w:tcW w:w="17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3</w:t>
            </w:r>
          </w:p>
        </w:tc>
        <w:tc>
          <w:tcPr>
            <w:tcW w:w="18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1.1</w:t>
            </w:r>
          </w:p>
        </w:tc>
        <w:tc>
          <w:tcPr>
            <w:tcW w:w="118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0.7</w:t>
            </w:r>
          </w:p>
        </w:tc>
        <w:tc>
          <w:tcPr>
            <w:tcW w:w="959"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0.3</w:t>
            </w:r>
          </w:p>
        </w:tc>
      </w:tr>
    </w:tbl>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The graph shows RRI of the Incarceration in Prison</w:t>
      </w:r>
    </w:p>
    <w:p>
      <w:pPr>
        <w:pStyle w:val="Normal"/>
        <w:spacing w:lineRule="auto" w:line="480"/>
        <w:jc w:val="both"/>
        <w:rPr>
          <w:rFonts w:ascii="Times New Roman" w:hAnsi="Times New Roman" w:cs="Times New Roman"/>
          <w:sz w:val="24"/>
          <w:szCs w:val="24"/>
        </w:rPr>
      </w:pPr>
      <w:r>
        <w:rPr/>
        <w:drawing>
          <wp:inline distT="0" distB="0" distL="0" distR="0">
            <wp:extent cx="5943600" cy="2351405"/>
            <wp:effectExtent l="0" t="0" r="0" b="0"/>
            <wp:docPr id="3"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Parole and probation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Probation or parole is lenient results compared to incarceration after conviction. The people of color are overrepresented in the parole and probation even though the differences are small (Bailey, 20160. The African Americans are on probation for over 3.0 times and on the parole for more than 5.0 times that rate of the Whites. The native Americans and Hispanics are on the parole for 2.0 times the rate of whites.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Death penalty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racial inequality concerning capital cases may be manifesting in two ways African: the capital punishment is possible to be addressed in the cases of murder if the victims are Whites and are still possibly if the victims are whites and the defendants are blacks (Aaronson, 2014). Americans rate on which they are put on the death penalty was approximately 5.0 times that rate of the Whites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Table showing percentages of people sentenced to death penalty in percentages</w:t>
      </w:r>
    </w:p>
    <w:tbl>
      <w:tblPr>
        <w:tblW w:w="4380" w:type="dxa"/>
        <w:jc w:val="left"/>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2179"/>
        <w:gridCol w:w="2200"/>
      </w:tblGrid>
      <w:tr>
        <w:trPr>
          <w:trHeight w:val="300" w:hRule="atLeast"/>
        </w:trPr>
        <w:tc>
          <w:tcPr>
            <w:tcW w:w="21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Races</w:t>
            </w:r>
          </w:p>
        </w:tc>
        <w:tc>
          <w:tcPr>
            <w:tcW w:w="220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death penalty %</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African American </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55</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Whites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Hispanics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25</w:t>
            </w:r>
          </w:p>
        </w:tc>
      </w:tr>
      <w:tr>
        <w:trPr>
          <w:trHeight w:val="300" w:hRule="atLeast"/>
        </w:trPr>
        <w:tc>
          <w:tcPr>
            <w:tcW w:w="217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Others</w:t>
            </w:r>
          </w:p>
        </w:tc>
        <w:tc>
          <w:tcPr>
            <w:tcW w:w="2200" w:type="dxa"/>
            <w:tcBorders>
              <w:bottom w:val="single" w:sz="4" w:space="0" w:color="00000A"/>
              <w:right w:val="single" w:sz="4" w:space="0" w:color="00000A"/>
              <w:insideH w:val="single" w:sz="4" w:space="0" w:color="00000A"/>
              <w:insideV w:val="single" w:sz="4" w:space="0" w:color="00000A"/>
            </w:tcBorders>
            <w:shd w:color="auto" w:fill="auto" w:val="clear"/>
            <w:vAlign w:val="bottom"/>
          </w:tcPr>
          <w:p>
            <w:pPr>
              <w:pStyle w:val="Normal"/>
              <w:spacing w:lineRule="auto" w:line="480" w:before="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w:t>
            </w:r>
          </w:p>
        </w:tc>
      </w:tr>
    </w:tbl>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The pie chart showing individuals sentenced to death penalty in percentages</w:t>
      </w:r>
    </w:p>
    <w:p>
      <w:pPr>
        <w:pStyle w:val="Normal"/>
        <w:spacing w:lineRule="auto" w:line="480"/>
        <w:jc w:val="both"/>
        <w:rPr>
          <w:rFonts w:ascii="Times New Roman" w:hAnsi="Times New Roman" w:cs="Times New Roman"/>
          <w:sz w:val="24"/>
          <w:szCs w:val="24"/>
        </w:rPr>
      </w:pPr>
      <w:r>
        <w:rPr/>
        <w:drawing>
          <wp:inline distT="0" distB="0" distL="0" distR="0">
            <wp:extent cx="4572000" cy="2743200"/>
            <wp:effectExtent l="0" t="0" r="0" b="0"/>
            <wp:docPr id="4"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Recidivism</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blacks are most probably to receive recidivate than the Hispanics or Whites. In the course ethnicity, reporting Hispanics are less to recidivate than the non-Hispanics.</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t>Juveniles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African Americans residential replacement rates are more than 4.0 times, Native American for 3.0 times and Hispanics for a rate of 2.0 times that of the Whites. The rate of young people admission to the adult's prisons are 7.0 times higher in the African American and more than 2.0 times high compared to Native Americans as well as for the White youth (Aaronson, 2014). The inequality in the system of justice for the juvenile is the worst in the system deepest levels.</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 and recommendation</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Color people are overrepresented in the juvenile justice and criminal justice systems. Many people are most possibly be arrested and be prosecuted as well be subjected to punitive penalties upon being convicted. Even though the information reported is alarming within itself, constraints in the collection of data efforts of the states and the federal regime obscure the exact degree of the disproportionate minority. Some measures which are important to give a complete description of disproportionate minority an important move towards addressing and understanding the issue. It involves tracking system-engaged people from the first contact by the law enforcement via each stage of a system comprising court processing, release and sentencing, sampling not just felony but minimal dangerous criminals and connecting legal variables like offense history through extra-legal variables comprising of community and socioeconomic factors. Also, it is important that all the information disaggregated by ethnicity and race.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The Asian Pacific Islanders that is Cambodian American, Chinese American, and Filipino American must be disaggregated. Ethnicity, race, and other cultural relevant variables associated with representation amongst those included in the system because of terrorism or immigration procedures and policies must constantly be gathered and made accessible for analysis. Many states in the US show astounding ethnicity and racial disparity rates. Nationally, the African Americans incarcerated in the federal and state jail and prisons at 5.0 times the rate of the Whites.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Although the reforms pace is modest in solving the mass incarceration scale and the enduring ethnic and racial disparities. The reforms pursued by the states are hopeful. The state of New Jersey offers a good example of the potential. The state has taken some reforms, which might reduce the inequality and accelerate progress. There is passing of the bill to modifying sentencing laws related to drug-free areas of school laws, restoring judicial discretion. The reform on the scaling back on the serious crimes punishments mostly the ones that induce long sentences to the repeat criminals while the public safety remains the top agenda imposing longer prison sentences for severe offenses have diminishing results on the public safety. Many states are following racial effect legislation, the concept that first became legal in the Iowa state in 2008. The other states that have passed the racial effect laws and Oregon and Connecticut and many other additional states that have introduced same laws. The main concept behind the racial impact legislation is to take into account the result of transformations in a criminal code before passing laws to give an opportunity to policymakers to take into consideration alternative practices, which do not exacerbate inequalities.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References</w:t>
      </w:r>
    </w:p>
    <w:p>
      <w:pPr>
        <w:pStyle w:val="NormalWeb"/>
        <w:spacing w:lineRule="auto" w:line="480" w:beforeAutospacing="0" w:before="0" w:afterAutospacing="0" w:after="0"/>
        <w:ind w:left="720" w:hanging="720"/>
        <w:jc w:val="both"/>
        <w:rPr/>
      </w:pPr>
      <w:r>
        <w:rPr/>
        <w:t xml:space="preserve">Aaronson, E. (2014). Criminalizing Racial Hatred, Legitimizing Racial Inequality. </w:t>
      </w:r>
      <w:r>
        <w:rPr>
          <w:rStyle w:val="Emphasis"/>
        </w:rPr>
        <w:t>From Slave Abuse to Hate Crime</w:t>
      </w:r>
      <w:r>
        <w:rPr/>
        <w:t>, 154-187. doi:10.1017/cbo9781139208703.005</w:t>
      </w:r>
    </w:p>
    <w:p>
      <w:pPr>
        <w:pStyle w:val="NormalWeb"/>
        <w:spacing w:lineRule="auto" w:line="480" w:beforeAutospacing="0" w:before="0" w:afterAutospacing="0" w:after="0"/>
        <w:ind w:left="720" w:hanging="720"/>
        <w:jc w:val="both"/>
        <w:rPr/>
      </w:pPr>
      <w:r>
        <w:rPr/>
        <w:t xml:space="preserve">Bailey, U. J. (2016). Addressing Racial Disparities in Substance-Abuse Policies Through Research. </w:t>
      </w:r>
      <w:r>
        <w:rPr>
          <w:rStyle w:val="Emphasis"/>
        </w:rPr>
        <w:t>PsycEXTRA Dataset</w:t>
      </w:r>
      <w:r>
        <w:rPr/>
        <w:t>. doi:10.1037/e692692007-001</w:t>
      </w:r>
    </w:p>
    <w:p>
      <w:pPr>
        <w:pStyle w:val="NormalWeb"/>
        <w:spacing w:lineRule="auto" w:line="480" w:beforeAutospacing="0" w:before="0" w:afterAutospacing="0" w:after="0"/>
        <w:ind w:left="720" w:hanging="720"/>
        <w:jc w:val="both"/>
        <w:rPr/>
      </w:pPr>
      <w:r>
        <w:rPr/>
        <w:t xml:space="preserve">Corsino, L. (2017). Chicago Heights and Organized Crime. </w:t>
      </w:r>
      <w:r>
        <w:rPr>
          <w:rStyle w:val="Emphasis"/>
        </w:rPr>
        <w:t>University of Illinois Press</w:t>
      </w:r>
      <w:r>
        <w:rPr/>
        <w:t>. doi:10.5406/illinois/9780252038716.003.0002</w:t>
      </w:r>
    </w:p>
    <w:p>
      <w:pPr>
        <w:pStyle w:val="NormalWeb"/>
        <w:spacing w:lineRule="auto" w:line="480" w:beforeAutospacing="0" w:before="0" w:afterAutospacing="0" w:after="0"/>
        <w:ind w:left="720" w:hanging="720"/>
        <w:jc w:val="both"/>
        <w:rPr/>
      </w:pPr>
      <w:r>
        <w:rPr/>
        <w:t xml:space="preserve">Drakulich, K. M. (2015). The hidden role of racial bias in support for policies related to inequality and crime. </w:t>
      </w:r>
      <w:r>
        <w:rPr>
          <w:rStyle w:val="Emphasis"/>
        </w:rPr>
        <w:t>Punishment &amp; Society</w:t>
      </w:r>
      <w:r>
        <w:rPr/>
        <w:t xml:space="preserve">, </w:t>
      </w:r>
      <w:r>
        <w:rPr>
          <w:rStyle w:val="Emphasis"/>
        </w:rPr>
        <w:t>17</w:t>
      </w:r>
      <w:r>
        <w:rPr/>
        <w:t>(5), 541-574. doi:10.1177/1462474515604041</w:t>
      </w:r>
    </w:p>
    <w:p>
      <w:pPr>
        <w:pStyle w:val="NormalWeb"/>
        <w:spacing w:lineRule="auto" w:line="480" w:beforeAutospacing="0" w:before="0" w:afterAutospacing="0" w:after="0"/>
        <w:ind w:left="720" w:hanging="720"/>
        <w:jc w:val="both"/>
        <w:rPr/>
      </w:pPr>
      <w:r>
        <w:rPr/>
        <w:t xml:space="preserve">Gonzalez-Sanchez, I. (2016). Dario Melossi, Crime, Punishment and Migration. </w:t>
      </w:r>
      <w:r>
        <w:rPr>
          <w:rStyle w:val="Emphasis"/>
        </w:rPr>
        <w:t>Punishment &amp; Society</w:t>
      </w:r>
      <w:r>
        <w:rPr/>
        <w:t>. doi:10.1177/1462474516674560</w:t>
      </w:r>
    </w:p>
    <w:p>
      <w:pPr>
        <w:pStyle w:val="NormalWeb"/>
        <w:spacing w:lineRule="auto" w:line="480" w:beforeAutospacing="0" w:before="0" w:afterAutospacing="0" w:after="0"/>
        <w:ind w:left="720" w:hanging="720"/>
        <w:jc w:val="both"/>
        <w:rPr/>
      </w:pPr>
      <w:r>
        <w:rPr/>
        <w:t xml:space="preserve">Levinson, J. D., Young, D. M., &amp; Rudman, L. A. (2013). Implicit Racial Bias. </w:t>
      </w:r>
      <w:r>
        <w:rPr>
          <w:rStyle w:val="Emphasis"/>
        </w:rPr>
        <w:t>Implicit Racial Bias Across the Law</w:t>
      </w:r>
      <w:r>
        <w:rPr/>
        <w:t>, 9-24. doi:10.1017/cbo9780511820595.002</w:t>
      </w:r>
    </w:p>
    <w:p>
      <w:pPr>
        <w:pStyle w:val="NormalWeb"/>
        <w:spacing w:lineRule="auto" w:line="480" w:beforeAutospacing="0" w:before="0" w:afterAutospacing="0" w:after="0"/>
        <w:ind w:left="720" w:hanging="720"/>
        <w:jc w:val="both"/>
        <w:rPr/>
      </w:pPr>
      <w:r>
        <w:rPr/>
        <w:t xml:space="preserve">Lombardo, R. M. (2017). Organized Crime in Chicago. </w:t>
      </w:r>
      <w:r>
        <w:rPr>
          <w:rStyle w:val="Emphasis"/>
        </w:rPr>
        <w:t>University of Illinois Press</w:t>
      </w:r>
      <w:r>
        <w:rPr/>
        <w:t>. doi:10.5406/illinois/9780252037306.001.0001</w:t>
      </w:r>
    </w:p>
    <w:p>
      <w:pPr>
        <w:pStyle w:val="NormalWeb"/>
        <w:spacing w:lineRule="auto" w:line="480" w:beforeAutospacing="0" w:before="0" w:afterAutospacing="0" w:after="0"/>
        <w:ind w:left="720" w:hanging="720"/>
        <w:jc w:val="both"/>
        <w:rPr/>
      </w:pPr>
      <w:r>
        <w:rPr/>
        <w:t xml:space="preserve">Londono, O. (2013). A Retributive Critique of Racial Bias and Arbitrariness in Capital Punishment. </w:t>
      </w:r>
      <w:r>
        <w:rPr>
          <w:rStyle w:val="Emphasis"/>
        </w:rPr>
        <w:t>Journal of Social Philosophy</w:t>
      </w:r>
      <w:r>
        <w:rPr/>
        <w:t xml:space="preserve">, </w:t>
      </w:r>
      <w:r>
        <w:rPr>
          <w:rStyle w:val="Emphasis"/>
        </w:rPr>
        <w:t>44</w:t>
      </w:r>
      <w:r>
        <w:rPr/>
        <w:t>(1), 95-105. doi:10.1111/josp.12013</w:t>
      </w:r>
    </w:p>
    <w:p>
      <w:pPr>
        <w:pStyle w:val="NormalWeb"/>
        <w:spacing w:lineRule="auto" w:line="480" w:beforeAutospacing="0" w:before="0" w:afterAutospacing="0" w:after="0"/>
        <w:ind w:left="720" w:hanging="720"/>
        <w:jc w:val="both"/>
        <w:rPr/>
      </w:pPr>
      <w:r>
        <w:rPr/>
        <w:t xml:space="preserve">Mauer, M. (2015). Addressing Racial Disparities in Incarceration. </w:t>
      </w:r>
      <w:r>
        <w:rPr>
          <w:rStyle w:val="Emphasis"/>
        </w:rPr>
        <w:t>The Prison Journal</w:t>
      </w:r>
      <w:r>
        <w:rPr/>
        <w:t xml:space="preserve">, </w:t>
      </w:r>
      <w:r>
        <w:rPr>
          <w:rStyle w:val="Emphasis"/>
        </w:rPr>
        <w:t>91</w:t>
      </w:r>
      <w:r>
        <w:rPr/>
        <w:t>(3_suppl), 87S-101S. doi:10.1177/0032885511415227</w:t>
      </w:r>
    </w:p>
    <w:p>
      <w:pPr>
        <w:pStyle w:val="NormalWeb"/>
        <w:spacing w:lineRule="auto" w:line="480" w:beforeAutospacing="0" w:before="0" w:afterAutospacing="0" w:after="0"/>
        <w:ind w:left="720" w:hanging="720"/>
        <w:jc w:val="both"/>
        <w:rPr/>
      </w:pPr>
      <w:r>
        <w:rPr/>
        <w:t xml:space="preserve">Tonry, M. (2013). Sentencing in America, 1975–2025. </w:t>
      </w:r>
      <w:r>
        <w:rPr>
          <w:rStyle w:val="Emphasis"/>
        </w:rPr>
        <w:t>Crime and Justice</w:t>
      </w:r>
      <w:r>
        <w:rPr/>
        <w:t xml:space="preserve">, </w:t>
      </w:r>
      <w:r>
        <w:rPr>
          <w:rStyle w:val="Emphasis"/>
        </w:rPr>
        <w:t>42</w:t>
      </w:r>
      <w:r>
        <w:rPr/>
        <w:t>(1), 141-198. doi:10.1086/671134</w:t>
      </w:r>
    </w:p>
    <w:p>
      <w:pPr>
        <w:pStyle w:val="Normal"/>
        <w:spacing w:lineRule="auto" w:line="480" w:before="0" w:after="200"/>
        <w:jc w:val="both"/>
        <w:rPr/>
      </w:pPr>
      <w:r>
        <w:rPr/>
      </w:r>
    </w:p>
    <w:sectPr>
      <w:headerReference w:type="default" r:id="rId6"/>
      <w:headerReference w:type="first" r:id="rId7"/>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2271038"/>
    </w:sdtPr>
    <w:sdtContent>
      <w:p>
        <w:pPr>
          <w:pStyle w:val="Header"/>
          <w:jc w:val="right"/>
          <w:rPr/>
        </w:pPr>
        <w:r>
          <w:rPr/>
          <w:t xml:space="preserve">ETHNIC AND RACIAL DISPARITY IN PRISONS                                                                                                           </w:t>
        </w:r>
        <w:r>
          <w:rPr/>
          <w:fldChar w:fldCharType="begin"/>
        </w:r>
        <w:r>
          <w:instrText> PAGE </w:instrText>
        </w:r>
        <w:r>
          <w:fldChar w:fldCharType="separate"/>
        </w:r>
        <w:r>
          <w:t>15</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843881864"/>
    </w:sdtPr>
    <w:sdtContent>
      <w:p>
        <w:pPr>
          <w:pStyle w:val="Header"/>
          <w:jc w:val="right"/>
          <w:rPr/>
        </w:pPr>
        <w:r>
          <w:rPr/>
          <w:t xml:space="preserve">Running head: ETHNIC AND RACIAL DISPARITY IN PRISONS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e1a53"/>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c56597"/>
    <w:rPr>
      <w:rFonts w:ascii="Tahoma" w:hAnsi="Tahoma" w:cs="Tahoma"/>
      <w:sz w:val="16"/>
      <w:szCs w:val="16"/>
    </w:rPr>
  </w:style>
  <w:style w:type="character" w:styleId="Emphasis">
    <w:name w:val="Emphasis"/>
    <w:basedOn w:val="DefaultParagraphFont"/>
    <w:uiPriority w:val="20"/>
    <w:qFormat/>
    <w:rsid w:val="00c72fb3"/>
    <w:rPr>
      <w:i/>
      <w:iCs/>
    </w:rPr>
  </w:style>
  <w:style w:type="character" w:styleId="HeaderChar" w:customStyle="1">
    <w:name w:val="Header Char"/>
    <w:basedOn w:val="DefaultParagraphFont"/>
    <w:link w:val="Header"/>
    <w:uiPriority w:val="99"/>
    <w:qFormat/>
    <w:rsid w:val="00e642b4"/>
    <w:rPr/>
  </w:style>
  <w:style w:type="character" w:styleId="FooterChar" w:customStyle="1">
    <w:name w:val="Footer Char"/>
    <w:basedOn w:val="DefaultParagraphFont"/>
    <w:link w:val="Footer"/>
    <w:uiPriority w:val="99"/>
    <w:semiHidden/>
    <w:qFormat/>
    <w:rsid w:val="00e642b4"/>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link w:val="BalloonTextChar"/>
    <w:uiPriority w:val="99"/>
    <w:semiHidden/>
    <w:unhideWhenUsed/>
    <w:qFormat/>
    <w:rsid w:val="00c56597"/>
    <w:pPr>
      <w:spacing w:lineRule="auto" w:line="240" w:before="0" w:after="0"/>
    </w:pPr>
    <w:rPr>
      <w:rFonts w:ascii="Tahoma" w:hAnsi="Tahoma" w:cs="Tahoma"/>
      <w:sz w:val="16"/>
      <w:szCs w:val="16"/>
    </w:rPr>
  </w:style>
  <w:style w:type="paragraph" w:styleId="NormalWeb">
    <w:name w:val="Normal (Web)"/>
    <w:basedOn w:val="Normal"/>
    <w:uiPriority w:val="99"/>
    <w:semiHidden/>
    <w:unhideWhenUsed/>
    <w:qFormat/>
    <w:rsid w:val="00c72fb3"/>
    <w:pPr>
      <w:spacing w:lineRule="auto" w:line="240" w:beforeAutospacing="1" w:afterAutospacing="1"/>
    </w:pPr>
    <w:rPr>
      <w:rFonts w:ascii="Times New Roman" w:hAnsi="Times New Roman" w:eastAsia="" w:cs="Times New Roman" w:eastAsiaTheme="minorEastAsia"/>
      <w:sz w:val="24"/>
      <w:szCs w:val="24"/>
    </w:rPr>
  </w:style>
  <w:style w:type="paragraph" w:styleId="Header">
    <w:name w:val="Header"/>
    <w:basedOn w:val="Normal"/>
    <w:link w:val="HeaderChar"/>
    <w:uiPriority w:val="99"/>
    <w:unhideWhenUsed/>
    <w:rsid w:val="00e642b4"/>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e642b4"/>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hart" Target="charts/chart1.xml"/><Relationship Id="rId3" Type="http://schemas.openxmlformats.org/officeDocument/2006/relationships/chart" Target="charts/chart2.xml"/><Relationship Id="rId4" Type="http://schemas.openxmlformats.org/officeDocument/2006/relationships/chart" Target="charts/chart3.xml"/><Relationship Id="rId5" Type="http://schemas.openxmlformats.org/officeDocument/2006/relationships/chart" Target="charts/chart4.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 violent offenses sentences  </a:t>
            </a:r>
          </a:p>
        </c:rich>
      </c:tx>
      <c:overlay val="0"/>
    </c:title>
    <c:autoTitleDeleted val="0"/>
    <c:plotArea>
      <c:pieChart>
        <c:varyColors val="1"/>
        <c:ser>
          <c:idx val="0"/>
          <c:order val="0"/>
          <c:tx>
            <c:strRef>
              <c:f>label 0</c:f>
              <c:strCache>
                <c:ptCount val="1"/>
                <c:pt idx="0">
                  <c:v> death penalty %</c:v>
                </c:pt>
              </c:strCache>
            </c:strRef>
          </c:tx>
          <c:spPr>
            <a:solidFill>
              <a:srgbClr val="4f81bd"/>
            </a:solidFill>
            <a:ln>
              <a:noFill/>
            </a:ln>
          </c:spPr>
          <c:explosion val="0"/>
          <c:dPt>
            <c:idx val="0"/>
            <c:spPr>
              <a:solidFill>
                <a:srgbClr val="4f81bd"/>
              </a:solidFill>
              <a:ln>
                <a:noFill/>
              </a:ln>
            </c:spPr>
          </c:dPt>
          <c:dPt>
            <c:idx val="1"/>
            <c:spPr>
              <a:solidFill>
                <a:srgbClr val="c0504d"/>
              </a:solidFill>
              <a:ln>
                <a:noFill/>
              </a:ln>
            </c:spPr>
          </c:dPt>
          <c:dPt>
            <c:idx val="2"/>
            <c:spPr>
              <a:solidFill>
                <a:srgbClr val="9bbb59"/>
              </a:solidFill>
              <a:ln>
                <a:noFill/>
              </a:ln>
            </c:spPr>
          </c:dPt>
          <c:dPt>
            <c:idx val="3"/>
            <c:spPr>
              <a:solidFill>
                <a:srgbClr val="8064a2"/>
              </a:solidFill>
              <a:ln>
                <a:noFill/>
              </a:ln>
            </c:spPr>
          </c:dPt>
          <c:dLbls>
            <c:dLbl>
              <c:idx val="0"/>
              <c:showLegendKey val="0"/>
              <c:showVal val="0"/>
              <c:showCatName val="0"/>
              <c:showSerName val="0"/>
              <c:showPercent val="0"/>
            </c:dLbl>
            <c:dLbl>
              <c:idx val="1"/>
              <c:showLegendKey val="0"/>
              <c:showVal val="0"/>
              <c:showCatName val="0"/>
              <c:showSerName val="0"/>
              <c:showPercent val="0"/>
            </c:dLbl>
            <c:dLbl>
              <c:idx val="2"/>
              <c:showLegendKey val="0"/>
              <c:showVal val="0"/>
              <c:showCatName val="0"/>
              <c:showSerName val="0"/>
              <c:showPercent val="0"/>
            </c:dLbl>
            <c:dLbl>
              <c:idx val="3"/>
              <c:showLegendKey val="0"/>
              <c:showVal val="0"/>
              <c:showCatName val="0"/>
              <c:showSerName val="0"/>
              <c:showPercent val="0"/>
            </c:dLbl>
            <c:showLegendKey val="0"/>
            <c:showVal val="0"/>
            <c:showCatName val="0"/>
            <c:showSerName val="0"/>
            <c:showPercent val="0"/>
            <c:showLeaderLines val="0"/>
          </c:dLbls>
          <c:cat>
            <c:strRef>
              <c:f>categories</c:f>
              <c:strCache>
                <c:ptCount val="4"/>
                <c:pt idx="0">
                  <c:v>African American </c:v>
                </c:pt>
                <c:pt idx="1">
                  <c:v>Whites</c:v>
                </c:pt>
                <c:pt idx="2">
                  <c:v>Hispanics</c:v>
                </c:pt>
                <c:pt idx="3">
                  <c:v>Others</c:v>
                </c:pt>
              </c:strCache>
            </c:strRef>
          </c:cat>
          <c:val>
            <c:numRef>
              <c:f>0</c:f>
              <c:numCache>
                <c:formatCode>General</c:formatCode>
                <c:ptCount val="4"/>
                <c:pt idx="0">
                  <c:v>55</c:v>
                </c:pt>
                <c:pt idx="1">
                  <c:v>10</c:v>
                </c:pt>
                <c:pt idx="2">
                  <c:v>25</c:v>
                </c:pt>
                <c:pt idx="3">
                  <c:v>10</c:v>
                </c:pt>
              </c:numCache>
            </c:numRef>
          </c:val>
        </c:ser>
        <c:firstSliceAng val="0"/>
      </c:pieChart>
      <c:spPr>
        <a:solidFill>
          <a:srgbClr val="ffffff"/>
        </a:solidFill>
        <a:ln>
          <a:noFill/>
        </a:ln>
      </c:spPr>
    </c:plotArea>
    <c:legend>
      <c:legendPos val="r"/>
      <c:overlay val="0"/>
      <c:spPr>
        <a:noFill/>
        <a:ln>
          <a:noFill/>
        </a:ln>
      </c:spPr>
    </c:legend>
    <c:plotVisOnly val="1"/>
    <c:dispBlanksAs val="gap"/>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RRI of Adults New Admissions  in prisons</a:t>
            </a:r>
          </a:p>
        </c:rich>
      </c:tx>
      <c:overlay val="0"/>
    </c:title>
    <c:autoTitleDeleted val="0"/>
    <c:plotArea>
      <c:barChart>
        <c:barDir val="bar"/>
        <c:grouping val="clustered"/>
        <c:varyColors val="0"/>
        <c:ser>
          <c:idx val="0"/>
          <c:order val="0"/>
          <c:tx>
            <c:strRef>
              <c:f>label 0</c:f>
              <c:strCache>
                <c:ptCount val="1"/>
                <c:pt idx="0">
                  <c:v>Whites </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0</c:f>
              <c:numCache>
                <c:formatCode>General</c:formatCode>
                <c:ptCount val="6"/>
                <c:pt idx="0">
                  <c:v>1</c:v>
                </c:pt>
                <c:pt idx="1">
                  <c:v>1</c:v>
                </c:pt>
                <c:pt idx="2">
                  <c:v>1</c:v>
                </c:pt>
                <c:pt idx="3">
                  <c:v>1</c:v>
                </c:pt>
                <c:pt idx="4">
                  <c:v>1</c:v>
                </c:pt>
                <c:pt idx="5">
                  <c:v>1</c:v>
                </c:pt>
              </c:numCache>
            </c:numRef>
          </c:val>
        </c:ser>
        <c:ser>
          <c:idx val="1"/>
          <c:order val="1"/>
          <c:tx>
            <c:strRef>
              <c:f>label 1</c:f>
              <c:strCache>
                <c:ptCount val="1"/>
                <c:pt idx="0">
                  <c:v>African American </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1</c:f>
              <c:numCache>
                <c:formatCode>General</c:formatCode>
                <c:ptCount val="6"/>
                <c:pt idx="0">
                  <c:v>5.7</c:v>
                </c:pt>
                <c:pt idx="1">
                  <c:v>4.5</c:v>
                </c:pt>
                <c:pt idx="2">
                  <c:v>5.6</c:v>
                </c:pt>
                <c:pt idx="3">
                  <c:v>5.2</c:v>
                </c:pt>
                <c:pt idx="4">
                  <c:v>5</c:v>
                </c:pt>
                <c:pt idx="5">
                  <c:v>4</c:v>
                </c:pt>
              </c:numCache>
            </c:numRef>
          </c:val>
        </c:ser>
        <c:ser>
          <c:idx val="2"/>
          <c:order val="2"/>
          <c:tx>
            <c:strRef>
              <c:f>label 2</c:f>
              <c:strCache>
                <c:ptCount val="1"/>
                <c:pt idx="0">
                  <c:v>Hispanics</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2</c:f>
              <c:numCache>
                <c:formatCode>General</c:formatCode>
                <c:ptCount val="6"/>
                <c:pt idx="0">
                  <c:v>2.1</c:v>
                </c:pt>
                <c:pt idx="1">
                  <c:v>2.9</c:v>
                </c:pt>
                <c:pt idx="2">
                  <c:v>2</c:v>
                </c:pt>
                <c:pt idx="3">
                  <c:v>1.6</c:v>
                </c:pt>
                <c:pt idx="4">
                  <c:v>3</c:v>
                </c:pt>
                <c:pt idx="5">
                  <c:v>1.8</c:v>
                </c:pt>
              </c:numCache>
            </c:numRef>
          </c:val>
        </c:ser>
        <c:ser>
          <c:idx val="3"/>
          <c:order val="3"/>
          <c:tx>
            <c:strRef>
              <c:f>label 3</c:f>
              <c:strCache>
                <c:ptCount val="1"/>
                <c:pt idx="0">
                  <c:v>Asian</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3</c:f>
              <c:numCache>
                <c:formatCode>General</c:formatCode>
                <c:ptCount val="6"/>
                <c:pt idx="0">
                  <c:v>2</c:v>
                </c:pt>
                <c:pt idx="1">
                  <c:v>0.5</c:v>
                </c:pt>
                <c:pt idx="2">
                  <c:v>1.7</c:v>
                </c:pt>
                <c:pt idx="3">
                  <c:v>0.8</c:v>
                </c:pt>
                <c:pt idx="4">
                  <c:v>0.6</c:v>
                </c:pt>
                <c:pt idx="5">
                  <c:v>1.5</c:v>
                </c:pt>
              </c:numCache>
            </c:numRef>
          </c:val>
        </c:ser>
        <c:ser>
          <c:idx val="4"/>
          <c:order val="4"/>
          <c:tx>
            <c:strRef>
              <c:f>label 4</c:f>
              <c:strCache>
                <c:ptCount val="1"/>
                <c:pt idx="0">
                  <c:v>Others</c:v>
                </c:pt>
              </c:strCache>
            </c:strRef>
          </c:tx>
          <c:spPr>
            <a:solidFill>
              <a:srgbClr val="4bacc6"/>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4</c:f>
              <c:numCache>
                <c:formatCode>General</c:formatCode>
                <c:ptCount val="6"/>
                <c:pt idx="0">
                  <c:v>0.2</c:v>
                </c:pt>
                <c:pt idx="1">
                  <c:v>0</c:v>
                </c:pt>
                <c:pt idx="2">
                  <c:v>0.2</c:v>
                </c:pt>
                <c:pt idx="3">
                  <c:v>0.3</c:v>
                </c:pt>
                <c:pt idx="4">
                  <c:v>0.1</c:v>
                </c:pt>
                <c:pt idx="5">
                  <c:v>0.4</c:v>
                </c:pt>
              </c:numCache>
            </c:numRef>
          </c:val>
        </c:ser>
        <c:gapWidth val="150"/>
        <c:overlap val="0"/>
        <c:axId val="85839837"/>
        <c:axId val="42303527"/>
      </c:barChart>
      <c:catAx>
        <c:axId val="85839837"/>
        <c:scaling>
          <c:orientation val="minMax"/>
        </c:scaling>
        <c:delete val="0"/>
        <c:axPos val="b"/>
        <c:title>
          <c:tx>
            <c:rich>
              <a:bodyPr rot="0"/>
              <a:lstStyle/>
              <a:p>
                <a:pPr>
                  <a:defRPr b="1" sz="1000" spc="-1" strike="noStrike">
                    <a:solidFill>
                      <a:srgbClr val="000000"/>
                    </a:solidFill>
                    <a:uFill>
                      <a:solidFill>
                        <a:srgbClr val="ffffff"/>
                      </a:solidFill>
                    </a:uFill>
                    <a:latin typeface="Calibri"/>
                  </a:defRPr>
                </a:pPr>
                <a:r>
                  <a:rPr b="1" sz="1000" spc="-1" strike="noStrike">
                    <a:solidFill>
                      <a:srgbClr val="000000"/>
                    </a:solidFill>
                    <a:uFill>
                      <a:solidFill>
                        <a:srgbClr val="ffffff"/>
                      </a:solidFill>
                    </a:uFill>
                    <a:latin typeface="Calibri"/>
                  </a:rPr>
                  <a:t>States</a:t>
                </a:r>
              </a:p>
            </c:rich>
          </c:tx>
          <c:overlay val="0"/>
        </c:title>
        <c:numFmt formatCode="MM/DD/YYYY" sourceLinked="1"/>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42303527"/>
        <c:crosses val="autoZero"/>
        <c:auto val="1"/>
        <c:lblAlgn val="ctr"/>
        <c:lblOffset val="100"/>
      </c:catAx>
      <c:valAx>
        <c:axId val="42303527"/>
        <c:scaling>
          <c:orientation val="minMax"/>
        </c:scaling>
        <c:delete val="0"/>
        <c:axPos val="l"/>
        <c:majorGridlines>
          <c:spPr>
            <a:ln w="9360">
              <a:solidFill>
                <a:srgbClr val="878787"/>
              </a:solidFill>
              <a:round/>
            </a:ln>
          </c:spPr>
        </c:majorGridlines>
        <c:title>
          <c:tx>
            <c:rich>
              <a:bodyPr rot="0"/>
              <a:lstStyle/>
              <a:p>
                <a:pPr>
                  <a:defRPr b="1" sz="1000" spc="-1" strike="noStrike">
                    <a:solidFill>
                      <a:srgbClr val="000000"/>
                    </a:solidFill>
                    <a:uFill>
                      <a:solidFill>
                        <a:srgbClr val="ffffff"/>
                      </a:solidFill>
                    </a:uFill>
                    <a:latin typeface="Calibri"/>
                  </a:defRPr>
                </a:pPr>
                <a:r>
                  <a:rPr b="1" sz="1000" spc="-1" strike="noStrike">
                    <a:solidFill>
                      <a:srgbClr val="000000"/>
                    </a:solidFill>
                    <a:uFill>
                      <a:solidFill>
                        <a:srgbClr val="ffffff"/>
                      </a:solidFill>
                    </a:uFill>
                    <a:latin typeface="Calibri"/>
                  </a:rPr>
                  <a:t>RRI</a:t>
                </a:r>
              </a:p>
            </c:rich>
          </c:tx>
          <c:overlay val="0"/>
        </c:title>
        <c:numFmt formatCode="General"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85839837"/>
        <c:crosses val="autoZero"/>
        <c:crossBetween val="midCat"/>
      </c:valAx>
      <c:spPr>
        <a:solidFill>
          <a:srgbClr val="ffffff"/>
        </a:solidFill>
        <a:ln>
          <a:noFill/>
        </a:ln>
      </c:spPr>
    </c:plotArea>
    <c:legend>
      <c:legendPos val="r"/>
      <c:overlay val="0"/>
      <c:spPr>
        <a:noFill/>
        <a:ln>
          <a:noFill/>
        </a:ln>
      </c:spPr>
    </c:legend>
    <c:plotVisOnly val="1"/>
    <c:dispBlanksAs val="gap"/>
  </c:chart>
  <c:spPr>
    <a:solidFill>
      <a:srgbClr val="ffffff"/>
    </a:solidFill>
    <a:ln>
      <a:noFill/>
    </a:ln>
  </c:spPr>
</c:chartSpace>
</file>

<file path=word/charts/chart3.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RRI of Incarceration in Prison</a:t>
            </a:r>
          </a:p>
        </c:rich>
      </c:tx>
      <c:overlay val="0"/>
    </c:title>
    <c:autoTitleDeleted val="0"/>
    <c:plotArea>
      <c:barChart>
        <c:barDir val="col"/>
        <c:grouping val="clustered"/>
        <c:varyColors val="0"/>
        <c:ser>
          <c:idx val="0"/>
          <c:order val="0"/>
          <c:tx>
            <c:strRef>
              <c:f>label 0</c:f>
              <c:strCache>
                <c:ptCount val="1"/>
                <c:pt idx="0">
                  <c:v>Whites </c:v>
                </c:pt>
              </c:strCache>
            </c:strRef>
          </c:tx>
          <c:spPr>
            <a:solidFill>
              <a:srgbClr val="4f81bd"/>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0</c:f>
              <c:numCache>
                <c:formatCode>General</c:formatCode>
                <c:ptCount val="6"/>
                <c:pt idx="0">
                  <c:v>1</c:v>
                </c:pt>
                <c:pt idx="1">
                  <c:v>1</c:v>
                </c:pt>
                <c:pt idx="2">
                  <c:v>1</c:v>
                </c:pt>
                <c:pt idx="3">
                  <c:v>1</c:v>
                </c:pt>
                <c:pt idx="4">
                  <c:v>1</c:v>
                </c:pt>
                <c:pt idx="5">
                  <c:v>1</c:v>
                </c:pt>
              </c:numCache>
            </c:numRef>
          </c:val>
        </c:ser>
        <c:ser>
          <c:idx val="1"/>
          <c:order val="1"/>
          <c:tx>
            <c:strRef>
              <c:f>label 1</c:f>
              <c:strCache>
                <c:ptCount val="1"/>
                <c:pt idx="0">
                  <c:v>African American </c:v>
                </c:pt>
              </c:strCache>
            </c:strRef>
          </c:tx>
          <c:spPr>
            <a:solidFill>
              <a:srgbClr val="c0504d"/>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1</c:f>
              <c:numCache>
                <c:formatCode>General</c:formatCode>
                <c:ptCount val="6"/>
                <c:pt idx="0">
                  <c:v>5.7</c:v>
                </c:pt>
                <c:pt idx="1">
                  <c:v>4.5</c:v>
                </c:pt>
                <c:pt idx="2">
                  <c:v>5.6</c:v>
                </c:pt>
                <c:pt idx="3">
                  <c:v>5.2</c:v>
                </c:pt>
                <c:pt idx="4">
                  <c:v>5</c:v>
                </c:pt>
                <c:pt idx="5">
                  <c:v>4</c:v>
                </c:pt>
              </c:numCache>
            </c:numRef>
          </c:val>
        </c:ser>
        <c:ser>
          <c:idx val="2"/>
          <c:order val="2"/>
          <c:tx>
            <c:strRef>
              <c:f>label 2</c:f>
              <c:strCache>
                <c:ptCount val="1"/>
                <c:pt idx="0">
                  <c:v>Hispanics</c:v>
                </c:pt>
              </c:strCache>
            </c:strRef>
          </c:tx>
          <c:spPr>
            <a:solidFill>
              <a:srgbClr val="9bbb59"/>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2</c:f>
              <c:numCache>
                <c:formatCode>General</c:formatCode>
                <c:ptCount val="6"/>
                <c:pt idx="0">
                  <c:v>2.1</c:v>
                </c:pt>
                <c:pt idx="1">
                  <c:v>2.9</c:v>
                </c:pt>
                <c:pt idx="2">
                  <c:v>2</c:v>
                </c:pt>
                <c:pt idx="3">
                  <c:v>1.6</c:v>
                </c:pt>
                <c:pt idx="4">
                  <c:v>3</c:v>
                </c:pt>
                <c:pt idx="5">
                  <c:v>1.8</c:v>
                </c:pt>
              </c:numCache>
            </c:numRef>
          </c:val>
        </c:ser>
        <c:ser>
          <c:idx val="3"/>
          <c:order val="3"/>
          <c:tx>
            <c:strRef>
              <c:f>label 3</c:f>
              <c:strCache>
                <c:ptCount val="1"/>
                <c:pt idx="0">
                  <c:v>Asian</c:v>
                </c:pt>
              </c:strCache>
            </c:strRef>
          </c:tx>
          <c:spPr>
            <a:solidFill>
              <a:srgbClr val="8064a2"/>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3</c:f>
              <c:numCache>
                <c:formatCode>General</c:formatCode>
                <c:ptCount val="6"/>
                <c:pt idx="0">
                  <c:v>2</c:v>
                </c:pt>
                <c:pt idx="1">
                  <c:v>0.5</c:v>
                </c:pt>
                <c:pt idx="2">
                  <c:v>1.7</c:v>
                </c:pt>
                <c:pt idx="3">
                  <c:v>0.8</c:v>
                </c:pt>
                <c:pt idx="4">
                  <c:v>0.6</c:v>
                </c:pt>
                <c:pt idx="5">
                  <c:v>1.5</c:v>
                </c:pt>
              </c:numCache>
            </c:numRef>
          </c:val>
        </c:ser>
        <c:ser>
          <c:idx val="4"/>
          <c:order val="4"/>
          <c:tx>
            <c:strRef>
              <c:f>label 4</c:f>
              <c:strCache>
                <c:ptCount val="1"/>
                <c:pt idx="0">
                  <c:v>Others</c:v>
                </c:pt>
              </c:strCache>
            </c:strRef>
          </c:tx>
          <c:spPr>
            <a:solidFill>
              <a:srgbClr val="4bacc6"/>
            </a:solidFill>
            <a:ln>
              <a:noFill/>
            </a:ln>
          </c:spPr>
          <c:invertIfNegative val="0"/>
          <c:dLbls>
            <c:showLegendKey val="0"/>
            <c:showVal val="0"/>
            <c:showCatName val="0"/>
            <c:showSerName val="0"/>
            <c:showPercent val="0"/>
            <c:showLeaderLines val="0"/>
          </c:dLbls>
          <c:cat>
            <c:strRef>
              <c:f>categories</c:f>
              <c:strCache>
                <c:ptCount val="6"/>
                <c:pt idx="0">
                  <c:v>national </c:v>
                </c:pt>
                <c:pt idx="1">
                  <c:v>Alabama </c:v>
                </c:pt>
                <c:pt idx="2">
                  <c:v>Arizona </c:v>
                </c:pt>
                <c:pt idx="3">
                  <c:v>Colarado </c:v>
                </c:pt>
                <c:pt idx="4">
                  <c:v>Florida </c:v>
                </c:pt>
                <c:pt idx="5">
                  <c:v>Idaho</c:v>
                </c:pt>
              </c:strCache>
            </c:strRef>
          </c:cat>
          <c:val>
            <c:numRef>
              <c:f>4</c:f>
              <c:numCache>
                <c:formatCode>General</c:formatCode>
                <c:ptCount val="6"/>
                <c:pt idx="0">
                  <c:v>0.2</c:v>
                </c:pt>
                <c:pt idx="1">
                  <c:v>0</c:v>
                </c:pt>
                <c:pt idx="2">
                  <c:v>0.2</c:v>
                </c:pt>
                <c:pt idx="3">
                  <c:v>0.3</c:v>
                </c:pt>
                <c:pt idx="4">
                  <c:v>0.1</c:v>
                </c:pt>
                <c:pt idx="5">
                  <c:v>0.4</c:v>
                </c:pt>
              </c:numCache>
            </c:numRef>
          </c:val>
        </c:ser>
        <c:gapWidth val="75"/>
        <c:overlap val="-25"/>
        <c:axId val="33541062"/>
        <c:axId val="79458212"/>
      </c:barChart>
      <c:catAx>
        <c:axId val="33541062"/>
        <c:scaling>
          <c:orientation val="minMax"/>
        </c:scaling>
        <c:delete val="0"/>
        <c:axPos val="b"/>
        <c:title>
          <c:tx>
            <c:rich>
              <a:bodyPr rot="0"/>
              <a:lstStyle/>
              <a:p>
                <a:pPr>
                  <a:defRPr b="1" sz="1000" spc="-1" strike="noStrike">
                    <a:solidFill>
                      <a:srgbClr val="000000"/>
                    </a:solidFill>
                    <a:uFill>
                      <a:solidFill>
                        <a:srgbClr val="ffffff"/>
                      </a:solidFill>
                    </a:uFill>
                    <a:latin typeface="Calibri"/>
                  </a:defRPr>
                </a:pPr>
                <a:r>
                  <a:rPr b="1" sz="1000" spc="-1" strike="noStrike">
                    <a:solidFill>
                      <a:srgbClr val="000000"/>
                    </a:solidFill>
                    <a:uFill>
                      <a:solidFill>
                        <a:srgbClr val="ffffff"/>
                      </a:solidFill>
                    </a:uFill>
                    <a:latin typeface="Calibri"/>
                  </a:rPr>
                  <a:t>States</a:t>
                </a:r>
              </a:p>
            </c:rich>
          </c:tx>
          <c:overlay val="0"/>
        </c:title>
        <c:numFmt formatCode="MM/DD/YYYY" sourceLinked="1"/>
        <c:majorTickMark val="none"/>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79458212"/>
        <c:crosses val="autoZero"/>
        <c:auto val="1"/>
        <c:lblAlgn val="ctr"/>
        <c:lblOffset val="100"/>
      </c:catAx>
      <c:valAx>
        <c:axId val="79458212"/>
        <c:scaling>
          <c:orientation val="minMax"/>
        </c:scaling>
        <c:delete val="0"/>
        <c:axPos val="l"/>
        <c:majorGridlines>
          <c:spPr>
            <a:ln w="9360">
              <a:solidFill>
                <a:srgbClr val="878787"/>
              </a:solidFill>
              <a:round/>
            </a:ln>
          </c:spPr>
        </c:majorGridlines>
        <c:title>
          <c:tx>
            <c:rich>
              <a:bodyPr rot="0"/>
              <a:lstStyle/>
              <a:p>
                <a:pPr>
                  <a:defRPr b="1" sz="1000" spc="-1" strike="noStrike">
                    <a:solidFill>
                      <a:srgbClr val="000000"/>
                    </a:solidFill>
                    <a:uFill>
                      <a:solidFill>
                        <a:srgbClr val="ffffff"/>
                      </a:solidFill>
                    </a:uFill>
                    <a:latin typeface="Calibri"/>
                  </a:defRPr>
                </a:pPr>
                <a:r>
                  <a:rPr b="1" sz="1000" spc="-1" strike="noStrike">
                    <a:solidFill>
                      <a:srgbClr val="000000"/>
                    </a:solidFill>
                    <a:uFill>
                      <a:solidFill>
                        <a:srgbClr val="ffffff"/>
                      </a:solidFill>
                    </a:uFill>
                    <a:latin typeface="Calibri"/>
                  </a:rPr>
                  <a:t>RRI</a:t>
                </a:r>
              </a:p>
            </c:rich>
          </c:tx>
          <c:overlay val="0"/>
        </c:title>
        <c:numFmt formatCode="General" sourceLinked="0"/>
        <c:majorTickMark val="none"/>
        <c:minorTickMark val="none"/>
        <c:tickLblPos val="nextTo"/>
        <c:spPr>
          <a:ln w="9360">
            <a:noFill/>
          </a:ln>
        </c:spPr>
        <c:txPr>
          <a:bodyPr/>
          <a:p>
            <a:pPr>
              <a:defRPr b="0" sz="1000" spc="-1" strike="noStrike">
                <a:solidFill>
                  <a:srgbClr val="000000"/>
                </a:solidFill>
                <a:uFill>
                  <a:solidFill>
                    <a:srgbClr val="ffffff"/>
                  </a:solidFill>
                </a:uFill>
                <a:latin typeface="Calibri"/>
              </a:defRPr>
            </a:pPr>
          </a:p>
        </c:txPr>
        <c:crossAx val="33541062"/>
        <c:crosses val="autoZero"/>
        <c:crossBetween val="midCat"/>
      </c:valAx>
      <c:spPr>
        <a:solidFill>
          <a:srgbClr val="ffffff"/>
        </a:solidFill>
        <a:ln>
          <a:noFill/>
        </a:ln>
      </c:spPr>
    </c:plotArea>
    <c:legend>
      <c:legendPos val="b"/>
      <c:overlay val="0"/>
      <c:spPr>
        <a:noFill/>
        <a:ln>
          <a:noFill/>
        </a:ln>
      </c:spPr>
    </c:legend>
    <c:plotVisOnly val="1"/>
    <c:dispBlanksAs val="gap"/>
  </c:chart>
  <c:spPr>
    <a:solidFill>
      <a:srgbClr val="ffffff"/>
    </a:solidFill>
    <a:ln>
      <a:noFill/>
    </a:ln>
  </c:spPr>
</c:chartSpace>
</file>

<file path=word/charts/chart4.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 death penalty %</a:t>
            </a:r>
          </a:p>
        </c:rich>
      </c:tx>
      <c:overlay val="0"/>
    </c:title>
    <c:autoTitleDeleted val="0"/>
    <c:plotArea>
      <c:pieChart>
        <c:varyColors val="1"/>
        <c:ser>
          <c:idx val="0"/>
          <c:order val="0"/>
          <c:tx>
            <c:strRef>
              <c:f>label 0</c:f>
              <c:strCache>
                <c:ptCount val="1"/>
                <c:pt idx="0">
                  <c:v> death penalty %</c:v>
                </c:pt>
              </c:strCache>
            </c:strRef>
          </c:tx>
          <c:spPr>
            <a:solidFill>
              <a:srgbClr val="4f81bd"/>
            </a:solidFill>
            <a:ln>
              <a:noFill/>
            </a:ln>
          </c:spPr>
          <c:explosion val="0"/>
          <c:dPt>
            <c:idx val="0"/>
            <c:spPr>
              <a:solidFill>
                <a:srgbClr val="4f81bd"/>
              </a:solidFill>
              <a:ln>
                <a:noFill/>
              </a:ln>
            </c:spPr>
          </c:dPt>
          <c:dPt>
            <c:idx val="1"/>
            <c:spPr>
              <a:solidFill>
                <a:srgbClr val="c0504d"/>
              </a:solidFill>
              <a:ln>
                <a:noFill/>
              </a:ln>
            </c:spPr>
          </c:dPt>
          <c:dPt>
            <c:idx val="2"/>
            <c:spPr>
              <a:solidFill>
                <a:srgbClr val="9bbb59"/>
              </a:solidFill>
              <a:ln>
                <a:noFill/>
              </a:ln>
            </c:spPr>
          </c:dPt>
          <c:dPt>
            <c:idx val="3"/>
            <c:spPr>
              <a:solidFill>
                <a:srgbClr val="8064a2"/>
              </a:solidFill>
              <a:ln>
                <a:noFill/>
              </a:ln>
            </c:spPr>
          </c:dPt>
          <c:dLbls>
            <c:dLbl>
              <c:idx val="0"/>
              <c:showLegendKey val="0"/>
              <c:showVal val="0"/>
              <c:showCatName val="0"/>
              <c:showSerName val="0"/>
              <c:showPercent val="0"/>
            </c:dLbl>
            <c:dLbl>
              <c:idx val="1"/>
              <c:showLegendKey val="0"/>
              <c:showVal val="0"/>
              <c:showCatName val="0"/>
              <c:showSerName val="0"/>
              <c:showPercent val="0"/>
            </c:dLbl>
            <c:dLbl>
              <c:idx val="2"/>
              <c:showLegendKey val="0"/>
              <c:showVal val="0"/>
              <c:showCatName val="0"/>
              <c:showSerName val="0"/>
              <c:showPercent val="0"/>
            </c:dLbl>
            <c:dLbl>
              <c:idx val="3"/>
              <c:showLegendKey val="0"/>
              <c:showVal val="0"/>
              <c:showCatName val="0"/>
              <c:showSerName val="0"/>
              <c:showPercent val="0"/>
            </c:dLbl>
            <c:showLegendKey val="0"/>
            <c:showVal val="0"/>
            <c:showCatName val="0"/>
            <c:showSerName val="0"/>
            <c:showPercent val="0"/>
            <c:showLeaderLines val="0"/>
          </c:dLbls>
          <c:cat>
            <c:strRef>
              <c:f>categories</c:f>
              <c:strCache>
                <c:ptCount val="4"/>
                <c:pt idx="0">
                  <c:v>African American </c:v>
                </c:pt>
                <c:pt idx="1">
                  <c:v>Whites</c:v>
                </c:pt>
                <c:pt idx="2">
                  <c:v>Hispanics</c:v>
                </c:pt>
                <c:pt idx="3">
                  <c:v>Others</c:v>
                </c:pt>
              </c:strCache>
            </c:strRef>
          </c:cat>
          <c:val>
            <c:numRef>
              <c:f>0</c:f>
              <c:numCache>
                <c:formatCode>General</c:formatCode>
                <c:ptCount val="4"/>
                <c:pt idx="0">
                  <c:v>55</c:v>
                </c:pt>
                <c:pt idx="1">
                  <c:v>10</c:v>
                </c:pt>
                <c:pt idx="2">
                  <c:v>25</c:v>
                </c:pt>
                <c:pt idx="3">
                  <c:v>10</c:v>
                </c:pt>
              </c:numCache>
            </c:numRef>
          </c:val>
        </c:ser>
        <c:firstSliceAng val="0"/>
      </c:pieChart>
      <c:spPr>
        <a:solidFill>
          <a:srgbClr val="ffffff"/>
        </a:solidFill>
        <a:ln>
          <a:noFill/>
        </a:ln>
      </c:spPr>
    </c:plotArea>
    <c:legend>
      <c:legendPos val="r"/>
      <c:overlay val="0"/>
      <c:spPr>
        <a:noFill/>
        <a:ln>
          <a:noFill/>
        </a:ln>
      </c:spPr>
    </c:legend>
    <c:plotVisOnly val="1"/>
    <c:dispBlanksAs val="gap"/>
  </c:chart>
  <c:spPr>
    <a:solidFill>
      <a:srgbClr val="ffffff"/>
    </a:solid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509</TotalTime>
  <Application>LibreOffice/5.1.6.2$Linux_X86_64 LibreOffice_project/10m0$Build-2</Application>
  <Pages>15</Pages>
  <Words>2844</Words>
  <CharactersWithSpaces>16212</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2017-12-04T11:29:00Z</dcterms:created>
  <dc:creator>ANNE</dc:creator>
  <dc:description/>
  <dc:language>en-US</dc:language>
  <cp:lastModifiedBy>ANNE</cp:lastModifiedBy>
  <dcterms:modified xsi:type="dcterms:W3CDTF">2017-12-04T20:11:00Z</dcterms:modified>
  <cp:revision>229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